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C3E" w:rsidRPr="00E93C3E" w:rsidRDefault="00E93C3E" w:rsidP="00E93C3E">
      <w:pPr>
        <w:pStyle w:val="2zakon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</w:p>
    <w:p w:rsidR="00E93C3E" w:rsidRPr="00E93C3E" w:rsidRDefault="00E93C3E" w:rsidP="00E93C3E">
      <w:pPr>
        <w:pStyle w:val="2zakon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E93C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UTVRĐIVANJU</w:t>
      </w:r>
      <w:r w:rsidRPr="00E93C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PORIJEKLA</w:t>
      </w:r>
      <w:r w:rsidRPr="00E93C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IMOVINE</w:t>
      </w:r>
      <w:r w:rsidRPr="00E93C3E">
        <w:rPr>
          <w:b/>
          <w:noProof/>
          <w:lang w:val="sr-Latn-CS"/>
        </w:rPr>
        <w:t xml:space="preserve"> </w:t>
      </w:r>
    </w:p>
    <w:p w:rsidR="00E93C3E" w:rsidRPr="00E93C3E" w:rsidRDefault="00E93C3E" w:rsidP="00E93C3E">
      <w:pPr>
        <w:pStyle w:val="2zakon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Pr="00E93C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POSEBNOM</w:t>
      </w:r>
      <w:r w:rsidRPr="00E93C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POREZU</w:t>
      </w:r>
      <w:r w:rsidRPr="00E93C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E93C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</w:p>
    <w:p w:rsidR="00E93C3E" w:rsidRPr="00E93C3E" w:rsidRDefault="00E93C3E" w:rsidP="00E93C3E">
      <w:pPr>
        <w:pStyle w:val="2zakon"/>
        <w:shd w:val="clear" w:color="auto" w:fill="FFFFFF"/>
        <w:spacing w:before="0" w:beforeAutospacing="0" w:after="0" w:afterAutospacing="0"/>
        <w:rPr>
          <w:b/>
          <w:noProof/>
          <w:lang w:val="sr-Latn-CS"/>
        </w:rPr>
      </w:pPr>
    </w:p>
    <w:p w:rsidR="00E93C3E" w:rsidRPr="00E93C3E" w:rsidRDefault="00E93C3E" w:rsidP="00E93C3E">
      <w:pPr>
        <w:pStyle w:val="7podnas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b/>
          <w:bCs/>
          <w:noProof/>
          <w:lang w:val="sr-Latn-CS"/>
        </w:rPr>
        <w:t>Predmet</w:t>
      </w:r>
      <w:r w:rsidRPr="00E93C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Zakona</w:t>
      </w:r>
    </w:p>
    <w:p w:rsidR="00E93C3E" w:rsidRPr="00E93C3E" w:rsidRDefault="00E93C3E" w:rsidP="00E93C3E">
      <w:pPr>
        <w:pStyle w:val="4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E93C3E">
        <w:rPr>
          <w:bCs/>
          <w:noProof/>
          <w:lang w:val="sr-Latn-CS"/>
        </w:rPr>
        <w:t xml:space="preserve"> 1.</w:t>
      </w:r>
    </w:p>
    <w:p w:rsidR="00E93C3E" w:rsidRPr="00E93C3E" w:rsidRDefault="00E93C3E" w:rsidP="00E93C3E">
      <w:pPr>
        <w:pStyle w:val="4clan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Ovim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uređuju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uslovi</w:t>
      </w:r>
      <w:r w:rsidRPr="00E93C3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način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postupak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utvrđuje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imovina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uvećanje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imovine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fizičkog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poseban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porez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uvećanje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imovine</w:t>
      </w:r>
      <w:r w:rsidRPr="00E93C3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dokaže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sticanja</w:t>
      </w:r>
      <w:r w:rsidRPr="00E93C3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nadležni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sprovođenje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Pr="00E93C3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E93C3E">
        <w:rPr>
          <w:rFonts w:eastAsia="Calibri"/>
          <w:noProof/>
          <w:lang w:val="sr-Latn-CS"/>
        </w:rPr>
        <w:t>.</w:t>
      </w:r>
    </w:p>
    <w:p w:rsidR="00E93C3E" w:rsidRPr="00E93C3E" w:rsidRDefault="00E93C3E" w:rsidP="00E93C3E">
      <w:pPr>
        <w:pStyle w:val="7podnas"/>
        <w:shd w:val="clear" w:color="auto" w:fill="FFFFFF"/>
        <w:spacing w:before="0" w:beforeAutospacing="0" w:after="0" w:afterAutospacing="0"/>
        <w:rPr>
          <w:b/>
          <w:bCs/>
          <w:noProof/>
          <w:lang w:val="sr-Latn-CS"/>
        </w:rPr>
      </w:pPr>
    </w:p>
    <w:p w:rsidR="00E93C3E" w:rsidRPr="00E93C3E" w:rsidRDefault="00E93C3E" w:rsidP="00E93C3E">
      <w:pPr>
        <w:pStyle w:val="7podnas"/>
        <w:shd w:val="clear" w:color="auto" w:fill="FFFFFF"/>
        <w:spacing w:before="0" w:beforeAutospacing="0" w:after="0" w:afterAutospacing="0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Značenje</w:t>
      </w:r>
      <w:r w:rsidRPr="00E93C3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izraza</w:t>
      </w:r>
    </w:p>
    <w:p w:rsidR="00E93C3E" w:rsidRPr="00E93C3E" w:rsidRDefault="00E93C3E" w:rsidP="00E93C3E">
      <w:pPr>
        <w:pStyle w:val="7podnas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E93C3E">
        <w:rPr>
          <w:bCs/>
          <w:noProof/>
          <w:lang w:val="sr-Latn-CS"/>
        </w:rPr>
        <w:t xml:space="preserve"> 2.</w:t>
      </w:r>
    </w:p>
    <w:p w:rsidR="00E93C3E" w:rsidRPr="00E93C3E" w:rsidRDefault="00E93C3E" w:rsidP="00E93C3E">
      <w:pPr>
        <w:pStyle w:val="7podnas"/>
        <w:shd w:val="clear" w:color="auto" w:fill="FFFFFF"/>
        <w:spacing w:before="0" w:beforeAutospacing="0" w:after="0" w:afterAutospacing="0"/>
        <w:jc w:val="center"/>
        <w:rPr>
          <w:b/>
          <w:bCs/>
          <w:noProof/>
          <w:lang w:val="sr-Latn-CS"/>
        </w:rPr>
      </w:pP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značenje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93C3E" w:rsidRPr="00E93C3E" w:rsidRDefault="00E93C3E" w:rsidP="00E93C3E">
      <w:pPr>
        <w:pStyle w:val="NoSpacing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relativnih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stvarima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obligacionih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novac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kriptovalute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Brčko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Distriktu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93C3E" w:rsidRPr="00E93C3E" w:rsidRDefault="00E93C3E" w:rsidP="00E93C3E">
      <w:pPr>
        <w:pStyle w:val="NoSpacing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93C3E" w:rsidRPr="00E93C3E" w:rsidRDefault="00E93C3E" w:rsidP="00E93C3E">
      <w:pPr>
        <w:pStyle w:val="NoSpacing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početak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93C3E" w:rsidRPr="00E93C3E" w:rsidRDefault="00E93C3E" w:rsidP="00E93C3E">
      <w:pPr>
        <w:pStyle w:val="NoSpacing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izdaci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izdatke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imalo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93C3E" w:rsidRPr="00E93C3E" w:rsidRDefault="00E93C3E" w:rsidP="00E93C3E">
      <w:pPr>
        <w:pStyle w:val="NoSpacing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izdataka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oporezivanju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besteretno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zaduživanjem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93C3E" w:rsidRPr="00E93C3E" w:rsidRDefault="00E93C3E" w:rsidP="00E93C3E">
      <w:pPr>
        <w:pStyle w:val="NoSpacing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upotrijebljeni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muškog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ženskog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C3E" w:rsidRPr="00E93C3E" w:rsidRDefault="00E93C3E" w:rsidP="00E93C3E">
      <w:pPr>
        <w:pStyle w:val="NoSpacing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Teret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dokazivanja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Teret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dokazivanja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prijavljene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E93C3E">
        <w:rPr>
          <w:noProof/>
          <w:lang w:val="sr-Latn-CS"/>
        </w:rPr>
        <w:t xml:space="preserve">: </w:t>
      </w:r>
      <w:r>
        <w:rPr>
          <w:noProof/>
          <w:lang w:val="sr-Latn-CS"/>
        </w:rPr>
        <w:t>Poreska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E93C3E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dokazivanja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dijelu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prijavljenim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prihodima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Nadležnost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utvrđivanje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porijekla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posebnog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poreza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imovinu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4.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E93C3E">
        <w:rPr>
          <w:noProof/>
          <w:lang w:val="sr-Latn-CS"/>
        </w:rPr>
        <w:t xml:space="preserve">: </w:t>
      </w:r>
      <w:r>
        <w:rPr>
          <w:noProof/>
          <w:lang w:val="sr-Latn-CS"/>
        </w:rPr>
        <w:t>poseban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</w:t>
      </w:r>
      <w:r w:rsidRPr="00E93C3E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E93C3E">
        <w:rPr>
          <w:noProof/>
          <w:lang w:val="sr-Latn-CS"/>
        </w:rPr>
        <w:t xml:space="preserve">: </w:t>
      </w:r>
      <w:r>
        <w:rPr>
          <w:noProof/>
          <w:lang w:val="sr-Latn-CS"/>
        </w:rPr>
        <w:t>Sektor</w:t>
      </w:r>
      <w:r w:rsidRPr="00E93C3E">
        <w:rPr>
          <w:noProof/>
          <w:lang w:val="sr-Latn-CS"/>
        </w:rPr>
        <w:t>).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Rukovodilac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Sektora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Rukovodilac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Rukovodioca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Ovlašćenja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Poreske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uprave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6.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Poreska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>: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1) </w:t>
      </w:r>
      <w:r>
        <w:rPr>
          <w:noProof/>
          <w:lang w:val="sr-Latn-CS"/>
        </w:rPr>
        <w:t>svih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pokretnim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stvarima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hartijama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štednim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ulozima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banaka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2) </w:t>
      </w:r>
      <w:r>
        <w:rPr>
          <w:noProof/>
          <w:lang w:val="sr-Latn-CS"/>
        </w:rPr>
        <w:t>poslovnih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knjiga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Obaveza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dostavljanja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podataka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7.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republičke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republičke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pravna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javna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oblici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fizička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8 </w:t>
      </w:r>
      <w:r>
        <w:rPr>
          <w:noProof/>
          <w:lang w:val="sr-Latn-CS"/>
        </w:rPr>
        <w:t>dana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Zaposleni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vezu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upućivanje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8.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Ministarstvo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bankarstvo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Republička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imovinsko</w:t>
      </w:r>
      <w:r w:rsidRPr="00E93C3E">
        <w:rPr>
          <w:noProof/>
          <w:lang w:val="sr-Latn-CS"/>
        </w:rPr>
        <w:t>-</w:t>
      </w:r>
      <w:r>
        <w:rPr>
          <w:noProof/>
          <w:lang w:val="sr-Latn-CS"/>
        </w:rPr>
        <w:t>pravne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informatičke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Centralni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hartija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 xml:space="preserve">. </w:t>
      </w:r>
      <w:r>
        <w:rPr>
          <w:noProof/>
          <w:lang w:val="sr-Latn-CS"/>
        </w:rPr>
        <w:t>d</w:t>
      </w:r>
      <w:r w:rsidRPr="00E93C3E">
        <w:rPr>
          <w:noProof/>
          <w:lang w:val="sr-Latn-CS"/>
        </w:rPr>
        <w:t xml:space="preserve">. </w:t>
      </w:r>
      <w:r>
        <w:rPr>
          <w:noProof/>
          <w:lang w:val="sr-Latn-CS"/>
        </w:rPr>
        <w:t>Banja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odrede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lastRenderedPageBreak/>
        <w:t xml:space="preserve"> (2) </w:t>
      </w:r>
      <w:r>
        <w:rPr>
          <w:noProof/>
          <w:lang w:val="sr-Latn-CS"/>
        </w:rPr>
        <w:t>Po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zaposleni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E93C3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upućeni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radnopravni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(3) </w:t>
      </w:r>
      <w:r>
        <w:rPr>
          <w:noProof/>
          <w:lang w:val="sr-Latn-CS"/>
        </w:rPr>
        <w:t>Privremen</w:t>
      </w:r>
      <w:r w:rsidRPr="00E93C3E">
        <w:rPr>
          <w:noProof/>
          <w:lang w:val="sr-Latn-CS"/>
        </w:rPr>
        <w:t xml:space="preserve">o </w:t>
      </w:r>
      <w:r>
        <w:rPr>
          <w:noProof/>
          <w:lang w:val="sr-Latn-CS"/>
        </w:rPr>
        <w:t>upućivanje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produžiti</w:t>
      </w:r>
      <w:r w:rsidRPr="00E93C3E">
        <w:rPr>
          <w:noProof/>
          <w:lang w:val="sr-Latn-CS"/>
        </w:rPr>
        <w:t>.</w:t>
      </w:r>
      <w:r w:rsidRPr="00E93C3E">
        <w:rPr>
          <w:noProof/>
          <w:highlight w:val="yellow"/>
          <w:lang w:val="sr-Latn-CS"/>
        </w:rPr>
        <w:t xml:space="preserve"> 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(4)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upućena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čuvaju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tajnu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Obavještavanje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nadležnog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tužilaštva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drugih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organa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9.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ukazuju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sumnje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Poreska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tužilaštvo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odgađanja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Faze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postupka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10.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pokreće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E93C3E">
        <w:rPr>
          <w:noProof/>
          <w:lang w:val="sr-Latn-CS"/>
        </w:rPr>
        <w:t xml:space="preserve">: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>).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Pravilnik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E93C3E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</w:t>
      </w:r>
      <w:r w:rsidRPr="00E93C3E">
        <w:rPr>
          <w:noProof/>
          <w:lang w:val="sr-Latn-CS"/>
        </w:rPr>
        <w:t xml:space="preserve">)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Utvrđivanje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porijekla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vrijednosti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imovine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11.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Prilikom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cjelokupna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>: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1) </w:t>
      </w:r>
      <w:r>
        <w:rPr>
          <w:noProof/>
          <w:lang w:val="sr-Latn-CS"/>
        </w:rPr>
        <w:t>nepokretne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stvari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stan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kuća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garaža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zemljište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Pr="00E93C3E">
        <w:rPr>
          <w:noProof/>
          <w:lang w:val="sr-Latn-CS"/>
        </w:rPr>
        <w:t>.),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2) </w:t>
      </w:r>
      <w:r>
        <w:rPr>
          <w:noProof/>
          <w:lang w:val="sr-Latn-CS"/>
        </w:rPr>
        <w:t>pravo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3) </w:t>
      </w:r>
      <w:r>
        <w:rPr>
          <w:noProof/>
          <w:lang w:val="sr-Latn-CS"/>
        </w:rPr>
        <w:t>pokretne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stvari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4) </w:t>
      </w:r>
      <w:r>
        <w:rPr>
          <w:noProof/>
          <w:lang w:val="sr-Latn-CS"/>
        </w:rPr>
        <w:t>hartije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5) </w:t>
      </w:r>
      <w:r>
        <w:rPr>
          <w:noProof/>
          <w:lang w:val="sr-Latn-CS"/>
        </w:rPr>
        <w:t>potraživanja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obligacionih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6) </w:t>
      </w:r>
      <w:r>
        <w:rPr>
          <w:noProof/>
          <w:lang w:val="sr-Latn-CS"/>
        </w:rPr>
        <w:t>udjeli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7) </w:t>
      </w:r>
      <w:r>
        <w:rPr>
          <w:noProof/>
          <w:lang w:val="sr-Latn-CS"/>
        </w:rPr>
        <w:t>oprema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8) </w:t>
      </w:r>
      <w:r>
        <w:rPr>
          <w:noProof/>
          <w:lang w:val="sr-Latn-CS"/>
        </w:rPr>
        <w:t>motorna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plovni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vazduhoplovi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9) </w:t>
      </w:r>
      <w:r>
        <w:rPr>
          <w:noProof/>
          <w:lang w:val="sr-Latn-CS"/>
        </w:rPr>
        <w:t>štedni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ulozi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novac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kriptovalute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10) </w:t>
      </w:r>
      <w:r>
        <w:rPr>
          <w:noProof/>
          <w:lang w:val="sr-Latn-CS"/>
        </w:rPr>
        <w:t>prava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11) </w:t>
      </w:r>
      <w:r>
        <w:rPr>
          <w:noProof/>
          <w:lang w:val="sr-Latn-CS"/>
        </w:rPr>
        <w:t>druga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imovinska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E93C3E">
        <w:rPr>
          <w:noProof/>
          <w:lang w:val="sr-Latn-CS"/>
        </w:rPr>
        <w:t>,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12) </w:t>
      </w:r>
      <w:r>
        <w:rPr>
          <w:noProof/>
          <w:lang w:val="sr-Latn-CS"/>
        </w:rPr>
        <w:t>izdaci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Fizičko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navodi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Federaciji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Brčko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Distriktu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vrijednost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vrijeme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pravni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(3) </w:t>
      </w:r>
      <w:r>
        <w:rPr>
          <w:noProof/>
          <w:lang w:val="sr-Latn-CS"/>
        </w:rPr>
        <w:t>Imovina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E93C3E">
        <w:rPr>
          <w:noProof/>
          <w:lang w:val="sr-Latn-CS"/>
        </w:rPr>
        <w:t xml:space="preserve"> 1.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9. </w:t>
      </w:r>
      <w:r>
        <w:rPr>
          <w:noProof/>
          <w:lang w:val="sr-Latn-CS"/>
        </w:rPr>
        <w:t>januara</w:t>
      </w:r>
      <w:r w:rsidRPr="00E93C3E">
        <w:rPr>
          <w:noProof/>
          <w:lang w:val="sr-Latn-CS"/>
        </w:rPr>
        <w:t xml:space="preserve"> 1992. </w:t>
      </w:r>
      <w:r>
        <w:rPr>
          <w:noProof/>
          <w:lang w:val="sr-Latn-CS"/>
        </w:rPr>
        <w:t>godine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(4) </w:t>
      </w:r>
      <w:r>
        <w:rPr>
          <w:noProof/>
          <w:lang w:val="sr-Latn-CS"/>
        </w:rPr>
        <w:t>Pravilnik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prihoda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E93C3E">
        <w:rPr>
          <w:noProof/>
          <w:lang w:val="sr-Latn-CS"/>
        </w:rPr>
        <w:t>.</w:t>
      </w: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Pokretanje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prethodnog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postupka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12.</w:t>
      </w:r>
    </w:p>
    <w:p w:rsidR="00E93C3E" w:rsidRPr="00E93C3E" w:rsidRDefault="00E93C3E" w:rsidP="00E93C3E">
      <w:pPr>
        <w:pStyle w:val="NoSpacing"/>
        <w:ind w:firstLine="72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Prethodni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Prethodni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E93C3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Prethodni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postupak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13.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prikupi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pravnih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upoređuje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prijavljenim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Poreska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pokreće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učini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vjerovatnim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uzastopne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kalendarske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postoji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razlika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prijavljenih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300.000 </w:t>
      </w:r>
      <w:r>
        <w:rPr>
          <w:noProof/>
          <w:lang w:val="sr-Latn-CS"/>
        </w:rPr>
        <w:t>KM</w:t>
      </w:r>
      <w:r w:rsidRPr="00E93C3E">
        <w:rPr>
          <w:noProof/>
          <w:lang w:val="sr-Latn-CS"/>
        </w:rPr>
        <w:t xml:space="preserve">. 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Postupak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kontrole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14.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njena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(3) </w:t>
      </w:r>
      <w:r>
        <w:rPr>
          <w:noProof/>
          <w:lang w:val="sr-Latn-CS"/>
        </w:rPr>
        <w:t>Fizičko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E93C3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dokaze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(4) </w:t>
      </w:r>
      <w:r>
        <w:rPr>
          <w:noProof/>
          <w:lang w:val="sr-Latn-CS"/>
        </w:rPr>
        <w:t>Neučestvovanje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odgađa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(5)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(6) </w:t>
      </w:r>
      <w:r>
        <w:rPr>
          <w:noProof/>
          <w:lang w:val="sr-Latn-CS"/>
        </w:rPr>
        <w:t>Po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Poreska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osnovica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poseban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porez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15.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revalorizovane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revalorizuje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indeksom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potrošačkih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posljednjeg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konvertibilne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marke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C3E" w:rsidRPr="00E93C3E" w:rsidRDefault="00E93C3E" w:rsidP="00E93C3E">
      <w:pPr>
        <w:pStyle w:val="NoSpacing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Stopa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posebnog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poreza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16.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Poseban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stopi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75%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Žalba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protiv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rješenja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17.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sudom</w:t>
      </w: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Primjena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kojim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uređuje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poreski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postupak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18.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Ako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izuzev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zastarjelosti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 (2) </w:t>
      </w:r>
      <w:r>
        <w:rPr>
          <w:noProof/>
          <w:lang w:val="sr-Latn-CS"/>
        </w:rPr>
        <w:t>Ako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neispunjenu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druga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), </w:t>
      </w:r>
      <w:r>
        <w:rPr>
          <w:noProof/>
          <w:lang w:val="sr-Latn-CS"/>
        </w:rPr>
        <w:t>po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zakonito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sprovešće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Odnos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prema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krivičnom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postupku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19.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Ako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presudom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proistekla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sud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presudi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uračunava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proistekla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Odredba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E93C3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proistekla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Obuka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zaposlenih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Ministarstvu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finansija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Poreskoj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upravi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Zaposleni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pohađaju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stalnu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Program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stalne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Obuka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sudija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21.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Sudije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tužbama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prolaze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Obuku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sudija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sudija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(3) </w:t>
      </w:r>
      <w:r>
        <w:rPr>
          <w:noProof/>
          <w:lang w:val="sr-Latn-CS"/>
        </w:rPr>
        <w:t>Program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sudija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tužilaca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Bezbjednosne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provjere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lica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22.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navode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svrha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provjeravanja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obavljaju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tokom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provjeravaju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(2) </w:t>
      </w:r>
      <w:r>
        <w:rPr>
          <w:noProof/>
          <w:lang w:val="sr-Latn-CS"/>
        </w:rPr>
        <w:t>Bezbjednosne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(3) </w:t>
      </w:r>
      <w:r>
        <w:rPr>
          <w:noProof/>
          <w:lang w:val="sr-Latn-CS"/>
        </w:rPr>
        <w:t>Bezbjednosne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smetnji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poretka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smetnji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svrha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provjeravanja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provjeravanje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razgovora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prikupljanjem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uvidom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evidencije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zbirke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(4)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provjeravanju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E93C3E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otkrile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identifikovali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izvori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pripadnici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provjeravanju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(5) </w:t>
      </w:r>
      <w:r>
        <w:rPr>
          <w:noProof/>
          <w:lang w:val="sr-Latn-CS"/>
        </w:rPr>
        <w:t>Podaci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prikupljeni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bezbjednosnim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provjeravanjem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čuvaju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štite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prikupljeni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Čuvanje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podataka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23.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dođu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postupkom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Kaznene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odredbe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24.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Fizičko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cjelokupnu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E93C3E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KM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neprijavljene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E93C3E">
        <w:rPr>
          <w:noProof/>
          <w:lang w:val="sr-Latn-CS"/>
        </w:rPr>
        <w:t xml:space="preserve"> 11. </w:t>
      </w:r>
      <w:r>
        <w:rPr>
          <w:noProof/>
          <w:lang w:val="sr-Latn-CS"/>
        </w:rPr>
        <w:t>stav</w:t>
      </w:r>
      <w:r w:rsidRPr="00E93C3E">
        <w:rPr>
          <w:noProof/>
          <w:lang w:val="sr-Latn-CS"/>
        </w:rPr>
        <w:t xml:space="preserve"> 2).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lastRenderedPageBreak/>
        <w:t xml:space="preserve">(2) </w:t>
      </w:r>
      <w:r>
        <w:rPr>
          <w:noProof/>
          <w:lang w:val="sr-Latn-CS"/>
        </w:rPr>
        <w:t>Novčanom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2.000 </w:t>
      </w:r>
      <w:r>
        <w:rPr>
          <w:noProof/>
          <w:lang w:val="sr-Latn-CS"/>
        </w:rPr>
        <w:t>KM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E93C3E">
        <w:rPr>
          <w:noProof/>
          <w:lang w:val="sr-Latn-CS"/>
        </w:rPr>
        <w:t xml:space="preserve"> 6.000 </w:t>
      </w:r>
      <w:r>
        <w:rPr>
          <w:noProof/>
          <w:lang w:val="sr-Latn-CS"/>
        </w:rPr>
        <w:t>KM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E93C3E">
        <w:rPr>
          <w:noProof/>
          <w:lang w:val="sr-Latn-CS"/>
        </w:rPr>
        <w:t xml:space="preserve"> 7).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(3)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E93C3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E93C3E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(4)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E93C3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imaocu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E93C3E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E93C3E">
        <w:rPr>
          <w:noProof/>
          <w:lang w:val="sr-Latn-CS"/>
        </w:rPr>
        <w:t xml:space="preserve"> 1.500 </w:t>
      </w:r>
      <w:r>
        <w:rPr>
          <w:noProof/>
          <w:lang w:val="sr-Latn-CS"/>
        </w:rPr>
        <w:t>KM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Rok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donošenje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podzakonskog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akta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25.</w:t>
      </w:r>
    </w:p>
    <w:p w:rsidR="00E93C3E" w:rsidRPr="00E93C3E" w:rsidRDefault="00E93C3E" w:rsidP="00E93C3E">
      <w:pPr>
        <w:pStyle w:val="NoSpacing"/>
        <w:ind w:firstLine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(1)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E93C3E">
        <w:rPr>
          <w:noProof/>
          <w:lang w:val="sr-Latn-CS"/>
        </w:rPr>
        <w:t xml:space="preserve"> 10. </w:t>
      </w:r>
      <w:r>
        <w:rPr>
          <w:noProof/>
          <w:lang w:val="sr-Latn-CS"/>
        </w:rPr>
        <w:t>stav</w:t>
      </w:r>
      <w:r w:rsidRPr="00E93C3E">
        <w:rPr>
          <w:noProof/>
          <w:lang w:val="sr-Latn-CS"/>
        </w:rPr>
        <w:t xml:space="preserve"> 2).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E93C3E">
        <w:rPr>
          <w:noProof/>
          <w:lang w:val="sr-Latn-CS"/>
        </w:rPr>
        <w:t xml:space="preserve">2)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prihoda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izdataka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E93C3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E93C3E">
        <w:rPr>
          <w:noProof/>
          <w:lang w:val="sr-Latn-CS"/>
        </w:rPr>
        <w:t xml:space="preserve"> 11. </w:t>
      </w:r>
      <w:r>
        <w:rPr>
          <w:noProof/>
          <w:lang w:val="sr-Latn-CS"/>
        </w:rPr>
        <w:t>stav</w:t>
      </w:r>
      <w:r w:rsidRPr="00E93C3E">
        <w:rPr>
          <w:noProof/>
          <w:lang w:val="sr-Latn-CS"/>
        </w:rPr>
        <w:t xml:space="preserve"> 3).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Određivanje</w:t>
      </w:r>
      <w:r w:rsidRPr="00E93C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Pr="00E93C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E93C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vezu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bankarstvo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Republička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imovinsko</w:t>
      </w:r>
      <w:r w:rsidRPr="00E93C3E">
        <w:rPr>
          <w:noProof/>
          <w:lang w:val="sr-Latn-CS"/>
        </w:rPr>
        <w:t>-</w:t>
      </w:r>
      <w:r>
        <w:rPr>
          <w:noProof/>
          <w:lang w:val="sr-Latn-CS"/>
        </w:rPr>
        <w:t>pravne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informatičke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finasijske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E93C3E">
        <w:rPr>
          <w:noProof/>
          <w:lang w:val="sr-Latn-CS"/>
        </w:rPr>
        <w:t xml:space="preserve">, </w:t>
      </w:r>
      <w:r>
        <w:rPr>
          <w:noProof/>
          <w:lang w:val="sr-Latn-CS"/>
        </w:rPr>
        <w:t>Centralni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hartija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Pr="00E93C3E">
        <w:rPr>
          <w:noProof/>
          <w:lang w:val="sr-Latn-CS"/>
        </w:rPr>
        <w:t xml:space="preserve">. </w:t>
      </w:r>
      <w:r>
        <w:rPr>
          <w:noProof/>
          <w:lang w:val="sr-Latn-CS"/>
        </w:rPr>
        <w:t>Banjaluka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odrediće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E93C3E">
        <w:rPr>
          <w:noProof/>
          <w:lang w:val="sr-Latn-CS"/>
        </w:rPr>
        <w:t>.</w:t>
      </w:r>
    </w:p>
    <w:p w:rsidR="00E93C3E" w:rsidRPr="00E93C3E" w:rsidRDefault="00E93C3E" w:rsidP="00E93C3E">
      <w:pPr>
        <w:pStyle w:val="NoSpacing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Objavljivanje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stupanje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snagu</w:t>
      </w:r>
      <w:r w:rsidRPr="00E93C3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</w:p>
    <w:p w:rsidR="00E93C3E" w:rsidRPr="00E93C3E" w:rsidRDefault="00E93C3E" w:rsidP="00E93C3E">
      <w:pPr>
        <w:pStyle w:val="NoSpacing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93C3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27.</w:t>
      </w: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:rsidR="00E93C3E" w:rsidRPr="00E93C3E" w:rsidRDefault="00E93C3E" w:rsidP="00E93C3E">
      <w:pPr>
        <w:pStyle w:val="1tekst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93C3E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E93C3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E93C3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E93C3E">
        <w:rPr>
          <w:noProof/>
          <w:lang w:val="sr-Latn-CS"/>
        </w:rPr>
        <w:t>“.</w:t>
      </w:r>
    </w:p>
    <w:p w:rsidR="00E93C3E" w:rsidRPr="00E93C3E" w:rsidRDefault="00E93C3E" w:rsidP="00E93C3E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93C3E" w:rsidRPr="00E93C3E" w:rsidRDefault="00E93C3E" w:rsidP="00E93C3E">
      <w:pPr>
        <w:tabs>
          <w:tab w:val="left" w:pos="6570"/>
        </w:tabs>
        <w:spacing w:after="0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A3E59">
        <w:rPr>
          <w:rFonts w:ascii="Times New Roman" w:hAnsi="Times New Roman" w:cs="Times New Roman"/>
          <w:noProof/>
          <w:sz w:val="24"/>
          <w:szCs w:val="24"/>
          <w:lang w:val="sr-Latn-CS"/>
        </w:rPr>
        <w:t>: 02/1-021-128</w:t>
      </w:r>
      <w:bookmarkStart w:id="0" w:name="_GoBack"/>
      <w:bookmarkEnd w:id="0"/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>/22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</w:p>
    <w:p w:rsidR="00E93C3E" w:rsidRPr="00E93C3E" w:rsidRDefault="00E93C3E" w:rsidP="00E93C3E">
      <w:pPr>
        <w:tabs>
          <w:tab w:val="left" w:pos="6120"/>
        </w:tabs>
        <w:spacing w:after="0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93C3E" w:rsidRPr="00E93C3E" w:rsidRDefault="00E93C3E" w:rsidP="00E93C3E">
      <w:pPr>
        <w:tabs>
          <w:tab w:val="left" w:pos="630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</w:t>
      </w:r>
    </w:p>
    <w:p w:rsidR="00E93C3E" w:rsidRPr="00E93C3E" w:rsidRDefault="00E93C3E" w:rsidP="00E93C3E">
      <w:pPr>
        <w:tabs>
          <w:tab w:val="left" w:pos="630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E93C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552D70" w:rsidRPr="00E93C3E" w:rsidRDefault="00552D70">
      <w:pPr>
        <w:rPr>
          <w:noProof/>
          <w:lang w:val="sr-Latn-CS"/>
        </w:rPr>
      </w:pPr>
    </w:p>
    <w:sectPr w:rsidR="00552D70" w:rsidRPr="00E93C3E" w:rsidSect="008C397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3E"/>
    <w:rsid w:val="00331E3E"/>
    <w:rsid w:val="00552D70"/>
    <w:rsid w:val="008E60ED"/>
    <w:rsid w:val="00962744"/>
    <w:rsid w:val="009F564A"/>
    <w:rsid w:val="00A34DA6"/>
    <w:rsid w:val="00A36B20"/>
    <w:rsid w:val="00A6432B"/>
    <w:rsid w:val="00AB766B"/>
    <w:rsid w:val="00BF60DD"/>
    <w:rsid w:val="00CA3E59"/>
    <w:rsid w:val="00DC0A39"/>
    <w:rsid w:val="00DD7D34"/>
    <w:rsid w:val="00E90017"/>
    <w:rsid w:val="00E9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C3E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E9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E9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_7podnas"/>
    <w:basedOn w:val="Normal"/>
    <w:rsid w:val="00E9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_4clan"/>
    <w:basedOn w:val="Normal"/>
    <w:rsid w:val="00E9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93C3E"/>
    <w:pPr>
      <w:spacing w:after="0"/>
    </w:pPr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C3E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E9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E9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_7podnas"/>
    <w:basedOn w:val="Normal"/>
    <w:rsid w:val="00E9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_4clan"/>
    <w:basedOn w:val="Normal"/>
    <w:rsid w:val="00E9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93C3E"/>
    <w:pPr>
      <w:spacing w:after="0"/>
    </w:pPr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2022-02-11T08:00:00Z</dcterms:created>
  <dcterms:modified xsi:type="dcterms:W3CDTF">2022-02-11T12:08:00Z</dcterms:modified>
</cp:coreProperties>
</file>